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2010/342 vom 12. Dezember 2011</w:t>
      </w:r>
    </w:p>
    <w:p>
      <w:r>
        <w:t>Sg Versicherungsgericht, 2011-12-12, DE</w:t>
      </w:r>
    </w:p>
    <w:p>
      <w:r>
        <w:rPr>
          <w:b/>
        </w:rPr>
        <w:t xml:space="preserve">Quelle: </w:t>
      </w:r>
      <w:r>
        <w:t>https://mcp.opencaselaw.ch/entscheid/sg_publikationen_IV 2010_342</w:t>
      </w:r>
    </w:p>
    <w:p>
      <w:r>
        <w:t>FR: SG_VERSICHERUNGSGERICHT IV 2010/342 du 12 décembre 2011</w:t>
      </w:r>
    </w:p>
    <w:p>
      <w:r>
        <w:t>IT: SG_VERSICHERUNGSGERICHT IV 2010/342 del 12 dicembre 2011</w:t>
      </w:r>
    </w:p>
    <w:p>
      <w:pPr>
        <w:pStyle w:val="Heading2"/>
      </w:pPr>
      <w:r>
        <w:t>Regeste</w:t>
      </w:r>
    </w:p>
    <w:p>
      <w:r>
        <w:t>Art. 28 Abs. 2 IVG: Anspruch auf eine Invalidenrente. Rückweisung zur Durchführung einer psychiatrischen Begutachtung (Entscheid des Versicherungsgerichts des Kantons St. Gallen vom 12. Dezember 2011, IV 2010/342).</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20. Juli 2010 eröffnet worden,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2.1    Zu prüfen ist vorliegend, ob die Beschwerdegegnerin den Anspruch der Beschwerdeführerin auf eine Invalidenrente zu Recht abgelehnt hat.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EVG vom 16. Oktober 2002, I 779/01, E. 4.2). 2.5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 Kieser, ATSG-Kommentar, 2. Auflage, Zürich 2009, N 62 zu Art. 61).</w:t>
      </w:r>
    </w:p>
    <w:p>
      <w:r>
        <w:rPr>
          <w:b/>
        </w:rPr>
        <w:t>E. 3</w:t>
      </w:r>
    </w:p>
    <w:p>
      <w:r>
        <w:t>3.1    Vorab ist zu prüfen, ob die medizinische Aktenlage eine rechtsgenügliche Beurteilung der Arbeitsfähigkeit der Beschwerdeführerin erlaubt. Die Beschwerdegegnerin stützt sich in der angefochtenen Verfügung auf den ärztlichen Bericht von Dr. E.___ vom 27. März 2009 und die darin festgelegte 100%ige Arbeitsfähigkeit in einer adaptierten Tätigkeit. Die Beschwerdeführerin ist hingegen der Ansicht, dass eine neutrale Begutachtung durchzuführen sei, sofern nicht auf die Einschätzung des Psychiatrie-Zentrums abgestellt werde. 3.2    Der Bericht von Dr. E.___ vom 27. März 2009 beruht auf einer psychiatrischen Untersuchung und berücksichtigt die relevanten Vorakten sowie die geklagten Beschwerden der Beschwerdeführerin. Während Dr. E.___ als Diagnose nur einen Verdacht auf eine somatofome Schmerzstörung (ICD-10: F45.4) festhält, diagnostizierte das Psychiatrie-Zentrum ein organisches Psychosyndrom nach Schädeltrauma (ICD-10: F07.2) und eine mittelgradige depressive Episode mit somatischem Syndrom (ICD-10: F32.1) sowie schliesslich eine posttraumatische Belastungsstörung (ICD-10: F43.1). Dr. E.___ setzt sich im Bericht einzig mit der abweichenden Diagnose eines organischen Psychosyndroms nach Schädeltrauma auseinander. Diesbezüglich führte er aus, dass sich in der durchgeführten Untersuchung kein Hinweis auf ein organisches Psychosyndrom ergeben habe. Es würden weder grobe Orientierungsstörungen noch andere stark eingeschränkte kognitive Beeinträchtigungen bestehen, die auf ein hirnorganisches Psychosyndrom hinweisen würden. Es sei daher zu vermuten, dass diese Diagnose von älteren Berichten, die eine temporäre Amnesie berichten und deswegen ein organisches Psychosyndrom dokumentieren würden, übernommen worden sei. Diese Begründung vermag nicht vollends zu überzeugen. Gemäss ICD-10 Klassifikation stellen die von Dr. E.___ genannten Kriterien "grobe Orientierungsstörungen und stark eingeschränkte kognitive Beeinträchtigungen" keine Voraussetzung für die Diagnose eines organischen Psychosyndroms nach Schädelhirntrauma (F07.2) dar. Vielmehr werden dort Symptome wie Kopfschmerzen, Schwindel, Erschöpfung, Reizbarkeit, Schwierigkeiten bei Konzentration und geistigen Leistungen, Gedächtnisstörungen, Schlafstörungen und verminderter Belastungsfähigkeit für Stress, emotionale Reize oder Alkohol benannt. Solche Beschwerden werden von der Beschwerdeführerin bei den jeweiligen Untersuchungen, auch gegenüber Dr. E.___ (vgl. IV-act. 37 E. 1.1), regelmässig geltend gemacht und bilden gemäss Verlaufsbericht des Psychiatrie-Zentrums vom 2. Juni 2010 auch Bestandteil der psychiatrischen Behandlung. Auf Nachfrage des RAD (IV-act. 69) begründete das Psychiatrie-Zentrum seine abweichende Beurteilung ausführlich und legte dar, weshalb die Beurteilung durch Dr. E.___ für falsch erachtet wird (IV-act. 72). In der Folge hielt RAD-Ärztin Dr. F.___ fest, weshalb sie die Beurteilung durch das Psychiatrie-Zentrum nicht teilt und auf die Beurteilung durch Dr. E.___ abzustellen sei (IV-act. 73). In dieser Situation kann nicht ohne weiteres auf die interne Beurteilung des RAD abgestellt werden. Vielmehr lässt die medizinische Aktenlage keine schlüssige Einschätzung der Arbeitsfähigkeit der Beschwerdeführerin in einer dem Leiden angepassten Tätigkeit zu. Die Beurteilungen des RAD und des Psychiatrie-Zentrum gehen sowohl bezüglich der gestellten Diagnosen als auch in der Einschätzung der Arbeitsfähigkeit derart weit auseinander, dass sich daraus keine plausible Beurteilung ableiten lässt. Auch die übrige medizinische Aktenlage vermag diesbezüglich keine Klarheit zu schaffen, zumal die psychiatrische Behandlung bei Dr. C.___ nicht mehr weitergeführt wurde, nachdem dieser im März 2007 noch eine 100%ige Arbeitsunfähigkeit attestierte. Sodann kann aus dem Umstand, dass die Suva ihre Leistungen per 30. April 2007 eingestellt hat (IV-Fremdakten; Einspracheentscheid der Suva vom 6. August 2008), nichts für das vorliegende Verfahren abgeleitet werden, da der Unfallversicherer die Leistungseinstellung hauptsächlich mit dem fehlenden adäquaten Kausalzusammenhang zwischen dem Unfallereignis und den geklagten Beschwerden begründete. 3.3    Die obigen Ausführungen legen dar, dass Zweifel an der Zuverlässigkeit der RAD-Beurteilung nicht verneint werden können. Da bei einem Fallabschluss ohne Einholung eines externen Gutachtens strengere Anforderungen an die Beweiswürdigung zu stellen sind und bereits bei geringen Zweifel an der Zuverlässigkeit und Schlüssigkeit der ver­sicherungsinternen ärztlichen Feststellungen ergänzende Abklärungen vorzunehmen sind (vgl. BGE 135 V 465 E. 4.4), ist die Sache zur Durchführung einer externen psychiatrischen Begutachtung an die Beschwerdegegnerin zurückzuweisen, damit diese anschliessend neu über die Sache verfügen kann.</w:t>
      </w:r>
    </w:p>
    <w:p>
      <w:r>
        <w:rPr>
          <w:b/>
        </w:rPr>
        <w:t>E. 4</w:t>
      </w:r>
    </w:p>
    <w:p>
      <w:r>
        <w:t>4.1    Nach dem Gesagten ist die Beschwerde unter Aufhebung der angefochtenen Verfügung vom 20. Juli 2010 teilweise gutzuheissen. Die Sache ist zur weiteren Abklärung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Demgemäss hat das Versicherungsgericht entschieden: 1.       Die Beschwerde wird unter Aufhebung der angefochtenen Verfügung vom 20. Juli 2010 teilweise gutgeheissen. Die Sache wird zur weiteren Abklärung und zu neuer Verfügung im Sinn der Erwägungen an die Beschwerdegegnerin zurückgewiesen. 2.       Die Beschwerdegegnerin bezahlt eine Gerichtsgebühr von Fr. 600.--.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